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5E0" w:firstRow="1" w:lastRow="1" w:firstColumn="1" w:lastColumn="1" w:noHBand="0" w:noVBand="1"/>
      </w:tblPr>
      <w:tblGrid>
        <w:gridCol w:w="5253"/>
        <w:gridCol w:w="4669"/>
      </w:tblGrid>
      <w:tr w:rsidR="00230FCE" w:rsidRPr="00230FCE" w14:paraId="247B6FC6" w14:textId="77777777" w:rsidTr="00230FCE">
        <w:trPr>
          <w:jc w:val="center"/>
        </w:trPr>
        <w:tc>
          <w:tcPr>
            <w:tcW w:w="2250" w:type="pct"/>
            <w:shd w:val="clear" w:color="auto" w:fill="auto"/>
            <w:tcMar>
              <w:top w:w="0" w:type="dxa"/>
              <w:left w:w="0" w:type="dxa"/>
              <w:bottom w:w="0" w:type="dxa"/>
              <w:right w:w="0" w:type="dxa"/>
            </w:tcMar>
          </w:tcPr>
          <w:p w14:paraId="65DBB519" w14:textId="77777777" w:rsidR="00230FCE" w:rsidRPr="00230FCE" w:rsidRDefault="00230FCE" w:rsidP="00230FCE">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14:paraId="38BF786B" w14:textId="77777777" w:rsidR="00230FCE" w:rsidRPr="00230FCE" w:rsidRDefault="00230FCE" w:rsidP="00230FCE">
            <w:pPr>
              <w:pStyle w:val="rvps14"/>
              <w:spacing w:before="150" w:after="150"/>
              <w:ind w:left="295"/>
              <w:rPr>
                <w:rStyle w:val="spanrvts0"/>
                <w:sz w:val="20"/>
                <w:szCs w:val="20"/>
                <w:lang w:val="uk" w:eastAsia="uk"/>
              </w:rPr>
            </w:pPr>
            <w:r w:rsidRPr="00230FCE">
              <w:rPr>
                <w:rStyle w:val="spanrvts0"/>
                <w:bCs/>
                <w:sz w:val="20"/>
                <w:szCs w:val="20"/>
                <w:lang w:val="uk" w:eastAsia="uk"/>
              </w:rPr>
              <w:t xml:space="preserve">Додаток 62 </w:t>
            </w:r>
            <w:r w:rsidRPr="00230FCE">
              <w:rPr>
                <w:rStyle w:val="spanrvts0"/>
                <w:bCs/>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230FCE">
              <w:rPr>
                <w:rStyle w:val="spanrvts0"/>
                <w:bCs/>
                <w:sz w:val="20"/>
                <w:szCs w:val="20"/>
                <w:lang w:val="uk" w:eastAsia="uk"/>
              </w:rPr>
              <w:br/>
              <w:t>паперами (пункт 108)</w:t>
            </w:r>
          </w:p>
        </w:tc>
      </w:tr>
    </w:tbl>
    <w:p w14:paraId="2E7BBCAC" w14:textId="77777777" w:rsidR="00230FCE" w:rsidRPr="00230FCE" w:rsidRDefault="00230FCE" w:rsidP="00230FCE">
      <w:pPr>
        <w:pStyle w:val="rvps7"/>
        <w:spacing w:before="150" w:after="150"/>
        <w:ind w:left="450" w:right="450"/>
        <w:rPr>
          <w:rStyle w:val="spanrvts0"/>
          <w:lang w:val="uk" w:eastAsia="uk"/>
        </w:rPr>
      </w:pPr>
      <w:r w:rsidRPr="00230FCE">
        <w:rPr>
          <w:rStyle w:val="spanrvts15"/>
          <w:bCs w:val="0"/>
          <w:lang w:val="uk" w:eastAsia="uk"/>
        </w:rPr>
        <w:t xml:space="preserve">ПОВІДОМЛЕННЯ </w:t>
      </w:r>
      <w:r w:rsidRPr="00230FCE">
        <w:rPr>
          <w:rStyle w:val="spanrvts15"/>
          <w:bCs w:val="0"/>
          <w:lang w:val="uk" w:eastAsia="uk"/>
        </w:rPr>
        <w:br/>
        <w:t>про проведення (скликання) загальних зборів акціонерного товариства</w:t>
      </w:r>
    </w:p>
    <w:tbl>
      <w:tblPr>
        <w:tblW w:w="4977" w:type="pct"/>
        <w:tblInd w:w="-20" w:type="dxa"/>
        <w:tblLayout w:type="fixed"/>
        <w:tblCellMar>
          <w:top w:w="567" w:type="dxa"/>
          <w:left w:w="567" w:type="dxa"/>
          <w:bottom w:w="567" w:type="dxa"/>
          <w:right w:w="567" w:type="dxa"/>
        </w:tblCellMar>
        <w:tblLook w:val="05E0" w:firstRow="1" w:lastRow="1" w:firstColumn="1" w:lastColumn="1" w:noHBand="0" w:noVBand="1"/>
      </w:tblPr>
      <w:tblGrid>
        <w:gridCol w:w="21"/>
        <w:gridCol w:w="4871"/>
        <w:gridCol w:w="20"/>
        <w:gridCol w:w="4948"/>
      </w:tblGrid>
      <w:tr w:rsidR="00230FCE" w14:paraId="1187E36A"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C01DFBC"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1</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EF1138D" w14:textId="77777777" w:rsidR="00230FCE" w:rsidRPr="00230FCE" w:rsidRDefault="00230FCE" w:rsidP="00230FCE">
            <w:pPr>
              <w:pStyle w:val="rvps12"/>
              <w:spacing w:before="150" w:after="150"/>
              <w:rPr>
                <w:rStyle w:val="spanrvts0"/>
                <w:lang w:val="uk" w:eastAsia="uk"/>
              </w:rPr>
            </w:pPr>
            <w:r w:rsidRPr="00230FCE">
              <w:rPr>
                <w:rStyle w:val="spanrvts0"/>
                <w:b/>
                <w:bCs/>
                <w:lang w:val="uk" w:eastAsia="uk"/>
              </w:rPr>
              <w:t>2</w:t>
            </w:r>
          </w:p>
        </w:tc>
      </w:tr>
      <w:tr w:rsidR="00230FCE" w14:paraId="24FEC990"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252C0F29" w14:textId="77777777" w:rsidR="00230FCE" w:rsidRPr="00230FCE" w:rsidRDefault="00230FCE" w:rsidP="00EB1242">
            <w:pPr>
              <w:pStyle w:val="rvps14"/>
              <w:rPr>
                <w:rStyle w:val="spanrvts0"/>
                <w:lang w:val="uk" w:eastAsia="uk"/>
              </w:rPr>
            </w:pPr>
            <w:r w:rsidRPr="00230FCE">
              <w:rPr>
                <w:rStyle w:val="spanrvts0"/>
                <w:b/>
                <w:bCs/>
                <w:lang w:val="uk" w:eastAsia="uk"/>
              </w:rPr>
              <w:t>Повне найменування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4E4D78" w14:textId="6D6AE39A" w:rsidR="00230FCE" w:rsidRPr="00AA2A4D" w:rsidRDefault="00AA2A4D" w:rsidP="00EB1242">
            <w:pPr>
              <w:pStyle w:val="rvps14"/>
              <w:rPr>
                <w:rStyle w:val="spanrvts0"/>
                <w:lang w:eastAsia="uk"/>
              </w:rPr>
            </w:pPr>
            <w:r>
              <w:rPr>
                <w:rStyle w:val="spanrvts0"/>
                <w:lang w:eastAsia="uk"/>
              </w:rPr>
              <w:t xml:space="preserve"> </w:t>
            </w:r>
            <w:r w:rsidR="00A0432C">
              <w:rPr>
                <w:rStyle w:val="spanrvts0"/>
                <w:lang w:eastAsia="uk"/>
              </w:rPr>
              <w:t>ПРИВАТНЕ АКЦІОНЕРНЕ ТОВАРИСТВО "АРХІТЕКТУРНО-БУДІВЕЛЬНІ ТЕХНОЛОГІЇ"</w:t>
            </w:r>
          </w:p>
        </w:tc>
      </w:tr>
      <w:tr w:rsidR="00230FCE" w14:paraId="238A9E97"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D877267" w14:textId="77777777" w:rsidR="00230FCE" w:rsidRPr="00230FCE" w:rsidRDefault="00230FCE" w:rsidP="00EB1242">
            <w:pPr>
              <w:pStyle w:val="rvps14"/>
              <w:rPr>
                <w:rStyle w:val="spanrvts0"/>
                <w:lang w:val="uk" w:eastAsia="uk"/>
              </w:rPr>
            </w:pPr>
            <w:r w:rsidRPr="00230FCE">
              <w:rPr>
                <w:rStyle w:val="spanrvts0"/>
                <w:b/>
                <w:bCs/>
                <w:lang w:val="uk" w:eastAsia="uk"/>
              </w:rPr>
              <w:t xml:space="preserve">Ідентифікаційний код юридичної особи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3CB222" w14:textId="006CDC52" w:rsidR="00230FCE" w:rsidRPr="00230FCE" w:rsidRDefault="00AA2A4D" w:rsidP="00EB1242">
            <w:pPr>
              <w:pStyle w:val="rvps14"/>
              <w:rPr>
                <w:rStyle w:val="spanrvts0"/>
                <w:lang w:val="uk" w:eastAsia="uk"/>
              </w:rPr>
            </w:pPr>
            <w:r>
              <w:rPr>
                <w:rStyle w:val="spanrvts0"/>
                <w:lang w:eastAsia="uk"/>
              </w:rPr>
              <w:t xml:space="preserve"> </w:t>
            </w:r>
            <w:r w:rsidR="00A0432C">
              <w:rPr>
                <w:rStyle w:val="spanrvts0"/>
                <w:lang w:eastAsia="uk"/>
              </w:rPr>
              <w:t>01350624</w:t>
            </w:r>
          </w:p>
        </w:tc>
      </w:tr>
      <w:tr w:rsidR="00230FCE" w14:paraId="43D5970C"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7F2D156" w14:textId="77777777" w:rsidR="00230FCE" w:rsidRPr="00230FCE" w:rsidRDefault="00230FCE" w:rsidP="00EB1242">
            <w:pPr>
              <w:pStyle w:val="rvps14"/>
              <w:rPr>
                <w:rStyle w:val="spanrvts0"/>
                <w:lang w:val="uk" w:eastAsia="uk"/>
              </w:rPr>
            </w:pPr>
            <w:r w:rsidRPr="00230FCE">
              <w:rPr>
                <w:rStyle w:val="spanrvts0"/>
                <w:b/>
                <w:bCs/>
                <w:lang w:val="uk" w:eastAsia="uk"/>
              </w:rPr>
              <w:t xml:space="preserve">Місцезнаходження </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5598D9" w14:textId="00614A19" w:rsidR="00230FCE" w:rsidRPr="00230FCE" w:rsidRDefault="00AA2A4D" w:rsidP="00EB1242">
            <w:pPr>
              <w:pStyle w:val="rvps14"/>
              <w:rPr>
                <w:rStyle w:val="spanrvts0"/>
                <w:lang w:val="uk" w:eastAsia="uk"/>
              </w:rPr>
            </w:pPr>
            <w:r>
              <w:rPr>
                <w:rStyle w:val="spanrvts0"/>
                <w:lang w:eastAsia="uk"/>
              </w:rPr>
              <w:t xml:space="preserve"> </w:t>
            </w:r>
            <w:r w:rsidR="00A0432C">
              <w:rPr>
                <w:rStyle w:val="spanrvts0"/>
                <w:lang w:eastAsia="uk"/>
              </w:rPr>
              <w:t>63401 м. Зміїв вул. ПІСЧАНА, буд. 2-А</w:t>
            </w:r>
          </w:p>
        </w:tc>
      </w:tr>
      <w:tr w:rsidR="00230FCE" w:rsidRPr="00230FCE" w14:paraId="57511E1F"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74107582"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78E760" w14:textId="3471E1A1" w:rsidR="00230FCE" w:rsidRPr="00230FCE" w:rsidRDefault="00AA2A4D" w:rsidP="00EB1242">
            <w:pPr>
              <w:pStyle w:val="rvps14"/>
              <w:rPr>
                <w:rStyle w:val="spanrvts0"/>
                <w:lang w:val="uk" w:eastAsia="uk"/>
              </w:rPr>
            </w:pPr>
            <w:r>
              <w:rPr>
                <w:rStyle w:val="spanrvts0"/>
                <w:lang w:eastAsia="uk"/>
              </w:rPr>
              <w:t xml:space="preserve"> </w:t>
            </w:r>
            <w:r w:rsidR="00A0432C">
              <w:rPr>
                <w:rStyle w:val="spanrvts0"/>
                <w:lang w:eastAsia="uk"/>
              </w:rPr>
              <w:t>30.05.2024 00:00</w:t>
            </w:r>
          </w:p>
        </w:tc>
      </w:tr>
      <w:tr w:rsidR="00230FCE" w:rsidRPr="00230FCE" w14:paraId="1B76E039"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5DFD79B4"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Спосіб проведення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6032E48D" w14:textId="559376EB" w:rsidR="00230FCE" w:rsidRPr="00230FCE" w:rsidRDefault="00AA2A4D" w:rsidP="00B8206F">
            <w:pPr>
              <w:pStyle w:val="rvps14"/>
              <w:spacing w:before="150" w:after="150"/>
              <w:rPr>
                <w:rStyle w:val="spanrvts0"/>
                <w:lang w:val="uk" w:eastAsia="uk"/>
              </w:rPr>
            </w:pPr>
            <w:r w:rsidRPr="00AA2A4D">
              <w:rPr>
                <w:lang w:val="ru-RU"/>
              </w:rPr>
              <w:t xml:space="preserve">   </w:t>
            </w:r>
            <w:r w:rsidR="00A0432C">
              <w:rPr>
                <w:b/>
              </w:rPr>
              <w:t xml:space="preserve"> </w:t>
            </w:r>
            <w:r w:rsidRPr="00AA2A4D">
              <w:rPr>
                <w:lang w:val="ru-RU"/>
              </w:rPr>
              <w:t xml:space="preserve"> </w:t>
            </w:r>
            <w:hyperlink r:id="rId4" w:history="1"/>
            <w:r w:rsidR="00230FCE" w:rsidRPr="00230FCE">
              <w:rPr>
                <w:rStyle w:val="spanrvts0"/>
                <w:b/>
                <w:bCs/>
                <w:lang w:val="uk" w:eastAsia="uk"/>
              </w:rPr>
              <w:t>очне голосування, місце проведення</w:t>
            </w:r>
            <w:r w:rsidR="00230FCE" w:rsidRPr="00230FCE">
              <w:rPr>
                <w:rStyle w:val="spanrvts37"/>
                <w:b w:val="0"/>
                <w:bCs w:val="0"/>
                <w:sz w:val="0"/>
                <w:szCs w:val="0"/>
                <w:lang w:val="uk" w:eastAsia="uk"/>
              </w:rPr>
              <w:t>-</w:t>
            </w:r>
            <w:r w:rsidR="00B8206F">
              <w:rPr>
                <w:rStyle w:val="spanrvts0"/>
                <w:b/>
                <w:bCs/>
                <w:lang w:val="uk" w:eastAsia="uk"/>
              </w:rPr>
              <w:t xml:space="preserve">: </w:t>
            </w:r>
            <w:r w:rsidR="00B8206F">
              <w:rPr>
                <w:rStyle w:val="spanrvts0"/>
                <w:b/>
                <w:bCs/>
                <w:lang w:val="uk" w:eastAsia="uk"/>
              </w:rPr>
              <w:br/>
            </w:r>
            <w:r w:rsidR="00B8206F" w:rsidRPr="00B8206F">
              <w:rPr>
                <w:rStyle w:val="spanrvts0"/>
                <w:b/>
                <w:bCs/>
                <w:lang w:val="ru-RU" w:eastAsia="uk"/>
              </w:rPr>
              <w:t xml:space="preserve"> </w:t>
            </w:r>
            <w:r w:rsidR="00230FCE" w:rsidRPr="00230FCE">
              <w:rPr>
                <w:rStyle w:val="spanrvts0"/>
                <w:b/>
                <w:bCs/>
                <w:lang w:val="uk" w:eastAsia="uk"/>
              </w:rPr>
              <w:br/>
            </w:r>
            <w:r w:rsidRPr="00AA2A4D">
              <w:rPr>
                <w:lang w:val="ru-RU"/>
              </w:rPr>
              <w:t xml:space="preserve">   </w:t>
            </w:r>
            <w:r w:rsidR="00A0432C">
              <w:rPr>
                <w:b/>
              </w:rPr>
              <w:t xml:space="preserve"> </w:t>
            </w:r>
            <w:r w:rsidRPr="00AA2A4D">
              <w:rPr>
                <w:lang w:val="ru-RU"/>
              </w:rPr>
              <w:t xml:space="preserve"> </w:t>
            </w:r>
            <w:hyperlink r:id="rId5" w:history="1"/>
            <w:r w:rsidR="00230FCE" w:rsidRPr="00230FCE">
              <w:rPr>
                <w:rStyle w:val="spanrvts0"/>
                <w:b/>
                <w:bCs/>
                <w:lang w:val="uk" w:eastAsia="uk"/>
              </w:rPr>
              <w:t xml:space="preserve">електронне голосування </w:t>
            </w:r>
            <w:r w:rsidR="00230FCE" w:rsidRPr="00230FCE">
              <w:rPr>
                <w:rStyle w:val="spanrvts0"/>
                <w:b/>
                <w:bCs/>
                <w:lang w:val="uk" w:eastAsia="uk"/>
              </w:rPr>
              <w:br/>
            </w:r>
            <w:r w:rsidRPr="00AA2A4D">
              <w:rPr>
                <w:lang w:val="ru-RU"/>
              </w:rPr>
              <w:t xml:space="preserve">   </w:t>
            </w:r>
            <w:r w:rsidR="00A0432C">
              <w:rPr>
                <w:b/>
              </w:rPr>
              <w:t>[X]</w:t>
            </w:r>
            <w:r w:rsidR="00B8206F" w:rsidRPr="00B8206F">
              <w:rPr>
                <w:lang w:val="ru-RU"/>
              </w:rPr>
              <w:t xml:space="preserve"> </w:t>
            </w:r>
            <w:hyperlink r:id="rId6" w:history="1"/>
            <w:r w:rsidR="00230FCE" w:rsidRPr="00230FCE">
              <w:rPr>
                <w:rStyle w:val="spanrvts0"/>
                <w:b/>
                <w:bCs/>
                <w:lang w:val="uk" w:eastAsia="uk"/>
              </w:rPr>
              <w:t>опитування (дистанційно)</w:t>
            </w:r>
          </w:p>
        </w:tc>
      </w:tr>
      <w:tr w:rsidR="00230FCE" w:rsidRPr="00230FCE" w14:paraId="31837243"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3A84ACDF"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Час початку і закінчення реєстрації акціонерів для участі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E8A967" w14:textId="36196640" w:rsidR="00230FCE" w:rsidRDefault="00B8206F" w:rsidP="00EB1242">
            <w:pPr>
              <w:pStyle w:val="rvps14"/>
              <w:contextualSpacing/>
              <w:rPr>
                <w:rStyle w:val="spanrvts0"/>
                <w:lang w:eastAsia="uk"/>
              </w:rPr>
            </w:pPr>
            <w:r>
              <w:rPr>
                <w:rStyle w:val="spanrvts0"/>
                <w:lang w:eastAsia="uk"/>
              </w:rPr>
              <w:t xml:space="preserve"> </w:t>
            </w:r>
            <w:r w:rsidR="00A0432C">
              <w:rPr>
                <w:rStyle w:val="spanrvts0"/>
                <w:lang w:eastAsia="uk"/>
              </w:rPr>
              <w:t>20.05.2024 11:00</w:t>
            </w:r>
          </w:p>
          <w:p w14:paraId="0EB78559" w14:textId="16FAF80B" w:rsidR="00EB1242" w:rsidRPr="00B8206F" w:rsidRDefault="00EB1242" w:rsidP="00EB1242">
            <w:pPr>
              <w:pStyle w:val="rvps14"/>
              <w:rPr>
                <w:rStyle w:val="spanrvts0"/>
                <w:lang w:eastAsia="uk"/>
              </w:rPr>
            </w:pPr>
            <w:r>
              <w:rPr>
                <w:rStyle w:val="spanrvts0"/>
                <w:lang w:eastAsia="uk"/>
              </w:rPr>
              <w:t xml:space="preserve"> </w:t>
            </w:r>
            <w:r w:rsidR="00A0432C">
              <w:rPr>
                <w:rStyle w:val="spanrvts0"/>
                <w:lang w:eastAsia="uk"/>
              </w:rPr>
              <w:t>30.05.2024 18:00</w:t>
            </w:r>
          </w:p>
        </w:tc>
      </w:tr>
      <w:tr w:rsidR="00230FCE" w:rsidRPr="00230FCE" w14:paraId="019AC91D"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1AC34065"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складення переліку акціонерів, які мають право на участь у загальних зборах</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8A242E" w14:textId="70B7F233" w:rsidR="00230FCE" w:rsidRPr="00B8206F" w:rsidRDefault="00B8206F" w:rsidP="00EB1242">
            <w:pPr>
              <w:pStyle w:val="rvps14"/>
              <w:rPr>
                <w:rStyle w:val="spanrvts0"/>
                <w:lang w:eastAsia="uk"/>
              </w:rPr>
            </w:pPr>
            <w:r>
              <w:rPr>
                <w:rStyle w:val="spanrvts0"/>
                <w:lang w:eastAsia="uk"/>
              </w:rPr>
              <w:t xml:space="preserve"> </w:t>
            </w:r>
            <w:r w:rsidR="00A0432C">
              <w:rPr>
                <w:rStyle w:val="spanrvts0"/>
                <w:lang w:eastAsia="uk"/>
              </w:rPr>
              <w:t>27.05.2024</w:t>
            </w:r>
          </w:p>
        </w:tc>
      </w:tr>
      <w:tr w:rsidR="00230FCE" w:rsidRPr="00230FCE" w14:paraId="5959124E"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2A220D31" w14:textId="77777777" w:rsidR="00230FCE" w:rsidRPr="00230FCE" w:rsidRDefault="00230FCE" w:rsidP="00230FCE">
            <w:pPr>
              <w:pStyle w:val="rvps14"/>
              <w:spacing w:before="150" w:after="150"/>
              <w:rPr>
                <w:rStyle w:val="spanrvts0"/>
                <w:lang w:val="uk" w:eastAsia="uk"/>
              </w:rPr>
            </w:pPr>
            <w:r w:rsidRPr="00230FCE">
              <w:rPr>
                <w:rStyle w:val="spanrvts0"/>
                <w:b/>
                <w:bCs/>
                <w:lang w:val="uk" w:eastAsia="uk"/>
              </w:rPr>
              <w:t>Проект порядку денного / порядок денний</w:t>
            </w:r>
            <w:r w:rsidRPr="00230FCE">
              <w:rPr>
                <w:rStyle w:val="spanrvts37"/>
                <w:b w:val="0"/>
                <w:bCs w:val="0"/>
                <w:sz w:val="0"/>
                <w:szCs w:val="0"/>
                <w:lang w:val="uk" w:eastAsia="uk"/>
              </w:rPr>
              <w:t>-</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B0A6F4" w14:textId="77777777" w:rsidR="00A0432C" w:rsidRDefault="00EB1242" w:rsidP="00EB1242">
            <w:pPr>
              <w:pStyle w:val="rvps14"/>
              <w:rPr>
                <w:rStyle w:val="spanrvts0"/>
                <w:lang w:eastAsia="uk"/>
              </w:rPr>
            </w:pPr>
            <w:r>
              <w:rPr>
                <w:rStyle w:val="spanrvts0"/>
                <w:lang w:eastAsia="uk"/>
              </w:rPr>
              <w:t xml:space="preserve"> </w:t>
            </w:r>
            <w:r w:rsidR="00A0432C">
              <w:rPr>
                <w:rStyle w:val="spanrvts0"/>
                <w:lang w:eastAsia="uk"/>
              </w:rPr>
              <w:t>1. Розгляд звіту Директора за  2023 рік та прийняття рішення за наслідками розгляду такого звіту.</w:t>
            </w:r>
          </w:p>
          <w:p w14:paraId="5000E483" w14:textId="77777777" w:rsidR="00A0432C" w:rsidRDefault="00A0432C" w:rsidP="00EB1242">
            <w:pPr>
              <w:pStyle w:val="rvps14"/>
              <w:rPr>
                <w:rStyle w:val="spanrvts0"/>
                <w:lang w:eastAsia="uk"/>
              </w:rPr>
            </w:pPr>
            <w:r>
              <w:rPr>
                <w:rStyle w:val="spanrvts0"/>
                <w:lang w:eastAsia="uk"/>
              </w:rPr>
              <w:t>2. Розгляд звіту Наглядової ради Товариства за  2023 рік та прийняття рішення за наслідками розгляду такого звіту.</w:t>
            </w:r>
          </w:p>
          <w:p w14:paraId="7CC6536D" w14:textId="77777777" w:rsidR="00A0432C" w:rsidRDefault="00A0432C" w:rsidP="00EB1242">
            <w:pPr>
              <w:pStyle w:val="rvps14"/>
              <w:rPr>
                <w:rStyle w:val="spanrvts0"/>
                <w:lang w:eastAsia="uk"/>
              </w:rPr>
            </w:pPr>
            <w:r>
              <w:rPr>
                <w:rStyle w:val="spanrvts0"/>
                <w:lang w:eastAsia="uk"/>
              </w:rPr>
              <w:t>3. Розгляд висновків аудиторського звіту суб'єкта аудиторської діяльності та затвердження заходів за результатами розгляду такого звіту.</w:t>
            </w:r>
          </w:p>
          <w:p w14:paraId="202A6DBE" w14:textId="77777777" w:rsidR="00A0432C" w:rsidRDefault="00A0432C" w:rsidP="00EB1242">
            <w:pPr>
              <w:pStyle w:val="rvps14"/>
              <w:rPr>
                <w:rStyle w:val="spanrvts0"/>
                <w:lang w:eastAsia="uk"/>
              </w:rPr>
            </w:pPr>
            <w:r>
              <w:rPr>
                <w:rStyle w:val="spanrvts0"/>
                <w:lang w:eastAsia="uk"/>
              </w:rPr>
              <w:t>4. Затвердження результатів фінансово-господарської діяльності за   2023 рік.  Затвердження порядку покрияття збитків Товариства.</w:t>
            </w:r>
          </w:p>
          <w:p w14:paraId="2A525C0C" w14:textId="77777777" w:rsidR="00A0432C" w:rsidRDefault="00A0432C" w:rsidP="00EB1242">
            <w:pPr>
              <w:pStyle w:val="rvps14"/>
              <w:rPr>
                <w:rStyle w:val="spanrvts0"/>
                <w:lang w:eastAsia="uk"/>
              </w:rPr>
            </w:pPr>
            <w:r>
              <w:rPr>
                <w:rStyle w:val="spanrvts0"/>
                <w:lang w:eastAsia="uk"/>
              </w:rPr>
              <w:t>5.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14:paraId="7760D85B" w14:textId="470E924E" w:rsidR="00230FCE" w:rsidRPr="00EB1242" w:rsidRDefault="00A0432C" w:rsidP="00EB1242">
            <w:pPr>
              <w:pStyle w:val="rvps14"/>
              <w:rPr>
                <w:rStyle w:val="spanrvts0"/>
                <w:lang w:eastAsia="uk"/>
              </w:rPr>
            </w:pPr>
            <w:r>
              <w:rPr>
                <w:rStyle w:val="spanrvts0"/>
                <w:lang w:eastAsia="uk"/>
              </w:rPr>
              <w:t>6. Прийняття рішення про вчинення правочину із заінтересованістю, який є одночасно значним правочином (значний правочин із заінтересованістю).</w:t>
            </w:r>
          </w:p>
        </w:tc>
      </w:tr>
      <w:tr w:rsidR="00230FCE" w:rsidRPr="00230FCE" w14:paraId="3B73E0A0"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49202A81" w14:textId="77777777" w:rsidR="00230FCE" w:rsidRPr="00230FCE" w:rsidRDefault="00230FCE" w:rsidP="00EB1242">
            <w:pPr>
              <w:pStyle w:val="rvps14"/>
              <w:rPr>
                <w:rStyle w:val="spanrvts0"/>
                <w:lang w:val="uk" w:eastAsia="uk"/>
              </w:rPr>
            </w:pPr>
            <w:r w:rsidRPr="00230FCE">
              <w:rPr>
                <w:rStyle w:val="spanrvts0"/>
                <w:b/>
                <w:bCs/>
                <w:lang w:val="uk" w:eastAsia="uk"/>
              </w:rPr>
              <w:t>Проекти рішень (крім кумулятивного голосування) з кожного питання, включеного до проекту порядку денного</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1E7AD" w14:textId="77777777" w:rsidR="00A0432C" w:rsidRDefault="00EB1242" w:rsidP="00EB1242">
            <w:pPr>
              <w:pStyle w:val="rvps14"/>
              <w:rPr>
                <w:rStyle w:val="spanrvts0"/>
                <w:lang w:eastAsia="uk"/>
              </w:rPr>
            </w:pPr>
            <w:r>
              <w:rPr>
                <w:rStyle w:val="spanrvts0"/>
                <w:lang w:eastAsia="uk"/>
              </w:rPr>
              <w:t xml:space="preserve"> </w:t>
            </w:r>
            <w:r w:rsidR="00A0432C">
              <w:rPr>
                <w:rStyle w:val="spanrvts0"/>
                <w:lang w:eastAsia="uk"/>
              </w:rPr>
              <w:t>1. Проект рішення з питання "Розгляд звіту Директора за  2023 рік та прийняття рішення за наслідками розгляду такого звіту": Затвердити звіт Директора за  2023 рік. Роботу Директора визнати задовільною.</w:t>
            </w:r>
          </w:p>
          <w:p w14:paraId="4796299A" w14:textId="77777777" w:rsidR="00A0432C" w:rsidRDefault="00A0432C" w:rsidP="00EB1242">
            <w:pPr>
              <w:pStyle w:val="rvps14"/>
              <w:rPr>
                <w:rStyle w:val="spanrvts0"/>
                <w:lang w:eastAsia="uk"/>
              </w:rPr>
            </w:pPr>
          </w:p>
          <w:p w14:paraId="494CAD05" w14:textId="77777777" w:rsidR="00A0432C" w:rsidRDefault="00A0432C" w:rsidP="00EB1242">
            <w:pPr>
              <w:pStyle w:val="rvps14"/>
              <w:rPr>
                <w:rStyle w:val="spanrvts0"/>
                <w:lang w:eastAsia="uk"/>
              </w:rPr>
            </w:pPr>
            <w:r>
              <w:rPr>
                <w:rStyle w:val="spanrvts0"/>
                <w:lang w:eastAsia="uk"/>
              </w:rPr>
              <w:t>2. Проект рішення з питання "Розгляд звіту Наглядової ради Товариства за  2023 рік та прийняття рішення за наслідками розгляду такого звіту": Затвердити звіт Наглядової ради Товариства за  2023 рік. Роботу Наглядової ради Товариства визнати задовільною.</w:t>
            </w:r>
          </w:p>
          <w:p w14:paraId="316E550C" w14:textId="77777777" w:rsidR="00A0432C" w:rsidRDefault="00A0432C" w:rsidP="00EB1242">
            <w:pPr>
              <w:pStyle w:val="rvps14"/>
              <w:rPr>
                <w:rStyle w:val="spanrvts0"/>
                <w:lang w:eastAsia="uk"/>
              </w:rPr>
            </w:pPr>
          </w:p>
          <w:p w14:paraId="50BF3450" w14:textId="77777777" w:rsidR="00A0432C" w:rsidRDefault="00A0432C" w:rsidP="00EB1242">
            <w:pPr>
              <w:pStyle w:val="rvps14"/>
              <w:rPr>
                <w:rStyle w:val="spanrvts0"/>
                <w:lang w:eastAsia="uk"/>
              </w:rPr>
            </w:pPr>
            <w:r>
              <w:rPr>
                <w:rStyle w:val="spanrvts0"/>
                <w:lang w:eastAsia="uk"/>
              </w:rPr>
              <w:t>3. Проект рішення з питання "Розгляд висновків аудиторського звіту суб'єкта аудиторської діяльності та затвердження заходів за результатами розгляду такого звіту": Не розглядати висновки аудиторського звіту суб'єкта аудиторської діяльності та не затверджувати заходи за результатами розгляду такого звіту (за результатами   2023 року), у зв'язку з їх відсутністю.</w:t>
            </w:r>
          </w:p>
          <w:p w14:paraId="01F81981" w14:textId="77777777" w:rsidR="00A0432C" w:rsidRDefault="00A0432C" w:rsidP="00EB1242">
            <w:pPr>
              <w:pStyle w:val="rvps14"/>
              <w:rPr>
                <w:rStyle w:val="spanrvts0"/>
                <w:lang w:eastAsia="uk"/>
              </w:rPr>
            </w:pPr>
          </w:p>
          <w:p w14:paraId="406AB9AE" w14:textId="77777777" w:rsidR="00A0432C" w:rsidRDefault="00A0432C" w:rsidP="00EB1242">
            <w:pPr>
              <w:pStyle w:val="rvps14"/>
              <w:rPr>
                <w:rStyle w:val="spanrvts0"/>
                <w:lang w:eastAsia="uk"/>
              </w:rPr>
            </w:pPr>
            <w:r>
              <w:rPr>
                <w:rStyle w:val="spanrvts0"/>
                <w:lang w:eastAsia="uk"/>
              </w:rPr>
              <w:t>4. Проект рішення з питання "Затвердження результатів фінансово-господарської діяльності за   2023 рік.  Затвердження порядку покриття збітків Товариства": Затвердити результати фінансово-господарської діяльності за 2023 рік.  Затвердити наступний порядок покриття збитків Товариства: покрити збитки за рахунок прибутків, що будуть отримані Товариством в майбутніх періодах.</w:t>
            </w:r>
          </w:p>
          <w:p w14:paraId="242BA51F" w14:textId="77777777" w:rsidR="00A0432C" w:rsidRDefault="00A0432C" w:rsidP="00EB1242">
            <w:pPr>
              <w:pStyle w:val="rvps14"/>
              <w:rPr>
                <w:rStyle w:val="spanrvts0"/>
                <w:lang w:eastAsia="uk"/>
              </w:rPr>
            </w:pPr>
          </w:p>
          <w:p w14:paraId="6B476FE7" w14:textId="77777777" w:rsidR="00A0432C" w:rsidRDefault="00A0432C" w:rsidP="00EB1242">
            <w:pPr>
              <w:pStyle w:val="rvps14"/>
              <w:rPr>
                <w:rStyle w:val="spanrvts0"/>
                <w:lang w:eastAsia="uk"/>
              </w:rPr>
            </w:pPr>
            <w:r>
              <w:rPr>
                <w:rStyle w:val="spanrvts0"/>
                <w:lang w:eastAsia="uk"/>
              </w:rPr>
              <w:t xml:space="preserve">5. Проект рішення з  питання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14:paraId="53CFDB8B" w14:textId="77777777" w:rsidR="00A0432C" w:rsidRDefault="00A0432C" w:rsidP="00EB1242">
            <w:pPr>
              <w:pStyle w:val="rvps14"/>
              <w:rPr>
                <w:rStyle w:val="spanrvts0"/>
                <w:lang w:eastAsia="uk"/>
              </w:rPr>
            </w:pPr>
            <w:r>
              <w:rPr>
                <w:rStyle w:val="spanrvts0"/>
                <w:lang w:eastAsia="uk"/>
              </w:rPr>
              <w:t>-</w:t>
            </w:r>
            <w:r>
              <w:rPr>
                <w:rStyle w:val="spanrvts0"/>
                <w:lang w:eastAsia="uk"/>
              </w:rPr>
              <w:tab/>
              <w:t>Договори підряду сукупною граничною вартістю до 1000000,00 грн. (один мільйон гривень 00 коп.);</w:t>
            </w:r>
          </w:p>
          <w:p w14:paraId="3BCBD50D" w14:textId="77777777" w:rsidR="00A0432C" w:rsidRDefault="00A0432C" w:rsidP="00EB1242">
            <w:pPr>
              <w:pStyle w:val="rvps14"/>
              <w:rPr>
                <w:rStyle w:val="spanrvts0"/>
                <w:lang w:eastAsia="uk"/>
              </w:rPr>
            </w:pPr>
            <w:r>
              <w:rPr>
                <w:rStyle w:val="spanrvts0"/>
                <w:lang w:eastAsia="uk"/>
              </w:rPr>
              <w:t>-</w:t>
            </w:r>
            <w:r>
              <w:rPr>
                <w:rStyle w:val="spanrvts0"/>
                <w:lang w:eastAsia="uk"/>
              </w:rPr>
              <w:tab/>
              <w:t>Договори купівлі-продажу нерухомого та рухомого майна сукупною граничною вартістю до  5000000,00 грн. (п'ять мільйонів гривень 00 коп.);</w:t>
            </w:r>
          </w:p>
          <w:p w14:paraId="7DD06B11" w14:textId="77777777" w:rsidR="00A0432C" w:rsidRDefault="00A0432C" w:rsidP="00EB1242">
            <w:pPr>
              <w:pStyle w:val="rvps14"/>
              <w:rPr>
                <w:rStyle w:val="spanrvts0"/>
                <w:lang w:eastAsia="uk"/>
              </w:rPr>
            </w:pPr>
            <w:r>
              <w:rPr>
                <w:rStyle w:val="spanrvts0"/>
                <w:lang w:eastAsia="uk"/>
              </w:rPr>
              <w:t>-</w:t>
            </w:r>
            <w:r>
              <w:rPr>
                <w:rStyle w:val="spanrvts0"/>
                <w:lang w:eastAsia="uk"/>
              </w:rPr>
              <w:tab/>
              <w:t>Договори про надання послуг сукупною граничною вартістю до 1000000,00 грн. (один мільйон гривень 00 коп.).</w:t>
            </w:r>
          </w:p>
          <w:p w14:paraId="37FBDEB7" w14:textId="77777777" w:rsidR="00A0432C" w:rsidRDefault="00A0432C" w:rsidP="00EB1242">
            <w:pPr>
              <w:pStyle w:val="rvps14"/>
              <w:rPr>
                <w:rStyle w:val="spanrvts0"/>
                <w:lang w:eastAsia="uk"/>
              </w:rPr>
            </w:pPr>
            <w:r>
              <w:rPr>
                <w:rStyle w:val="spanrvts0"/>
                <w:lang w:eastAsia="uk"/>
              </w:rPr>
              <w:t>Уповноважити на укладання та підписання таких правочинів Директора Товариства.</w:t>
            </w:r>
          </w:p>
          <w:p w14:paraId="7AEB8CCC" w14:textId="77777777" w:rsidR="00A0432C" w:rsidRDefault="00A0432C" w:rsidP="00EB1242">
            <w:pPr>
              <w:pStyle w:val="rvps14"/>
              <w:rPr>
                <w:rStyle w:val="spanrvts0"/>
                <w:lang w:eastAsia="uk"/>
              </w:rPr>
            </w:pPr>
          </w:p>
          <w:p w14:paraId="720B6D7A" w14:textId="7B14D55A" w:rsidR="00230FCE" w:rsidRPr="00EB1242" w:rsidRDefault="00A0432C" w:rsidP="00EB1242">
            <w:pPr>
              <w:pStyle w:val="rvps14"/>
              <w:rPr>
                <w:rStyle w:val="spanrvts0"/>
                <w:lang w:eastAsia="uk"/>
              </w:rPr>
            </w:pPr>
            <w:r>
              <w:rPr>
                <w:rStyle w:val="spanrvts0"/>
                <w:lang w:eastAsia="uk"/>
              </w:rPr>
              <w:t xml:space="preserve">6. Проект рішення з  питання "Прийняття рішення про вчинення правочину із заінтересованістю, який є одночасно значним правочином (значний правочин із заінтересованістю).": Надати згоду на вчинення правочину із заінтересованістю, який є одночасно значним правочином (значний </w:t>
            </w:r>
            <w:r>
              <w:rPr>
                <w:rStyle w:val="spanrvts0"/>
                <w:lang w:eastAsia="uk"/>
              </w:rPr>
              <w:lastRenderedPageBreak/>
              <w:t>правочин із заінтересованістю), а саме на продаж нежитлових будівель за адресою: м. Зміїв, вул. Піщана, буд. 2-А, Чугуївського району, Харківської області, реєстраційний номер об'єкта нерухомого майна: 2801860163140, за 2 000 000,00 (два мільйони) грн., з урахуванням ПДВ, - ТОВ "АВР-АГРО", заінтересована особа - гр. Ревенко Андрій Вікторович.</w:t>
            </w:r>
          </w:p>
        </w:tc>
      </w:tr>
      <w:tr w:rsidR="00230FCE" w:rsidRPr="00230FCE" w14:paraId="77C5FAAC"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677D24FA"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URL-адреса вебсайту, на якій розміщено інформацію, зазначену в </w:t>
            </w:r>
            <w:hyperlink r:id="rId7" w:anchor="n506" w:tgtFrame="_blank" w:history="1">
              <w:r w:rsidRPr="00230FCE">
                <w:rPr>
                  <w:rStyle w:val="arvts96"/>
                  <w:lang w:val="uk" w:eastAsia="uk"/>
                </w:rPr>
                <w:t>частині третій</w:t>
              </w:r>
            </w:hyperlink>
            <w:r w:rsidRPr="00230FCE">
              <w:rPr>
                <w:rStyle w:val="spanrvts0"/>
                <w:b/>
                <w:bCs/>
                <w:lang w:val="uk" w:eastAsia="uk"/>
              </w:rPr>
              <w:t xml:space="preserve"> статті 47 Закону про акціонерні товариства</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007644" w14:textId="528D69D2" w:rsidR="00230FCE" w:rsidRPr="00EB1242" w:rsidRDefault="00EB1242" w:rsidP="00EB1242">
            <w:pPr>
              <w:pStyle w:val="rvps14"/>
              <w:rPr>
                <w:rStyle w:val="spanrvts0"/>
                <w:lang w:eastAsia="uk"/>
              </w:rPr>
            </w:pPr>
            <w:r>
              <w:rPr>
                <w:rStyle w:val="spanrvts0"/>
                <w:lang w:eastAsia="uk"/>
              </w:rPr>
              <w:t xml:space="preserve"> </w:t>
            </w:r>
            <w:r w:rsidR="00A0432C">
              <w:rPr>
                <w:rStyle w:val="spanrvts0"/>
                <w:lang w:eastAsia="uk"/>
              </w:rPr>
              <w:t>http://arkhbudtekh.pat.ua/documents/informaciya-dlya-akcioneriv-ta-steikholderiv</w:t>
            </w:r>
          </w:p>
        </w:tc>
      </w:tr>
      <w:tr w:rsidR="00230FCE" w:rsidRPr="00230FCE" w14:paraId="176C2F63"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012E8EE0" w14:textId="77777777" w:rsidR="00230FCE" w:rsidRPr="00230FCE" w:rsidRDefault="00230FCE" w:rsidP="00EB1242">
            <w:pPr>
              <w:pStyle w:val="rvps14"/>
              <w:rPr>
                <w:rStyle w:val="spanrvts0"/>
                <w:lang w:val="uk" w:eastAsia="uk"/>
              </w:rPr>
            </w:pPr>
            <w:r w:rsidRPr="00230FCE">
              <w:rPr>
                <w:rStyle w:val="spanrvts0"/>
                <w:b/>
                <w:bCs/>
                <w:lang w:val="uk" w:eastAsia="uk"/>
              </w:rPr>
              <w:t>Порядок ознайомлення акціонерів з матеріалами, з якими вони можуть ознайомитися під час підготовки до загальних зборів</w:t>
            </w:r>
            <w:r w:rsidRPr="00230FCE">
              <w:rPr>
                <w:rStyle w:val="spanrvts37"/>
                <w:b w:val="0"/>
                <w:bCs w:val="0"/>
                <w:sz w:val="0"/>
                <w:szCs w:val="0"/>
                <w:lang w:val="uk" w:eastAsia="uk"/>
              </w:rPr>
              <w:t>-</w:t>
            </w:r>
            <w:r w:rsidRPr="00230FCE">
              <w:rPr>
                <w:rStyle w:val="spanrvts0"/>
                <w:b/>
                <w:bCs/>
                <w:lang w:val="uk" w:eastAsia="uk"/>
              </w:rPr>
              <w:t>, та посадова особа</w:t>
            </w:r>
            <w:r w:rsidRPr="00230FCE">
              <w:rPr>
                <w:rStyle w:val="spanrvts37"/>
                <w:b w:val="0"/>
                <w:bCs w:val="0"/>
                <w:sz w:val="0"/>
                <w:szCs w:val="0"/>
                <w:lang w:val="uk" w:eastAsia="uk"/>
              </w:rPr>
              <w:t>-</w:t>
            </w:r>
            <w:r w:rsidRPr="00230FCE">
              <w:rPr>
                <w:rStyle w:val="spanrvts0"/>
                <w:b/>
                <w:bCs/>
                <w:lang w:val="uk" w:eastAsia="uk"/>
              </w:rPr>
              <w:t xml:space="preserve"> акціонерного товариства, відповідальна за порядок ознайомлення акціонерів з документами</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128E2" w14:textId="77777777" w:rsidR="00A0432C" w:rsidRDefault="00FC060E" w:rsidP="00EB1242">
            <w:pPr>
              <w:pStyle w:val="rvps14"/>
              <w:rPr>
                <w:rStyle w:val="spanrvts0"/>
                <w:lang w:eastAsia="uk"/>
              </w:rPr>
            </w:pPr>
            <w:r>
              <w:rPr>
                <w:rStyle w:val="spanrvts0"/>
                <w:lang w:eastAsia="uk"/>
              </w:rPr>
              <w:t xml:space="preserve"> </w:t>
            </w:r>
            <w:r w:rsidR="00A0432C">
              <w:rPr>
                <w:rStyle w:val="spanrvts0"/>
                <w:lang w:eastAsia="uk"/>
              </w:rPr>
              <w:t>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ознайомитись з документами, необхідними для прийняття рішень з питань, включених до проекту порядку денного та порядку денного, шляхом направлення документів акціонеру на його запит.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НКЦПФР, та направлений на адресу електронної пошти  avto_expert2017@ukr.net.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НКЦПФР.</w:t>
            </w:r>
          </w:p>
          <w:p w14:paraId="65C4F729" w14:textId="77777777" w:rsidR="00A0432C" w:rsidRDefault="00A0432C" w:rsidP="00EB1242">
            <w:pPr>
              <w:pStyle w:val="rvps14"/>
              <w:rPr>
                <w:rStyle w:val="spanrvts0"/>
                <w:lang w:eastAsia="uk"/>
              </w:rPr>
            </w:pPr>
            <w:r>
              <w:rPr>
                <w:rStyle w:val="spanrvts0"/>
                <w:lang w:eastAsia="uk"/>
              </w:rPr>
              <w:t xml:space="preserve">Товариство до дати проведення Загальних зборів надає відповіді на письмові запитання акціонерів щодо питань, включених до проекту порядку денного Загальних зборів та порядку денного Загальних зборів, отримані Товариством не пізніше ніж за один робочий день до дати проведення Загальних зборів. Відповідні запити направляються акціонерами на адресу електронної пошти avto_expert2017@ukr.net та засвідченням такого запиту кваліфікованим електронним підписом (та/або іншим засобом електронної ідентифікації, що відповідає вимогам, визначеним НКЦПФР). Товариство може надати одну загальну відповідь на всі запитання </w:t>
            </w:r>
            <w:r>
              <w:rPr>
                <w:rStyle w:val="spanrvts0"/>
                <w:lang w:eastAsia="uk"/>
              </w:rPr>
              <w:lastRenderedPageBreak/>
              <w:t>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НКЦПФР.</w:t>
            </w:r>
          </w:p>
          <w:p w14:paraId="77BAB0E9" w14:textId="77777777" w:rsidR="00A0432C" w:rsidRDefault="00A0432C" w:rsidP="00EB1242">
            <w:pPr>
              <w:pStyle w:val="rvps14"/>
              <w:rPr>
                <w:rStyle w:val="spanrvts0"/>
                <w:lang w:eastAsia="uk"/>
              </w:rPr>
            </w:pPr>
            <w:r>
              <w:rPr>
                <w:rStyle w:val="spanrvts0"/>
                <w:lang w:eastAsia="uk"/>
              </w:rPr>
              <w:t>Посадова особа, відповідальна за порядок ознайомлення акціонерів з документами - Директор Гоготов Валерій Васильович. Контактний номер телефону: +380967470824.</w:t>
            </w:r>
          </w:p>
          <w:p w14:paraId="3E3D03EC" w14:textId="77777777" w:rsidR="00A0432C" w:rsidRDefault="00A0432C" w:rsidP="00EB1242">
            <w:pPr>
              <w:pStyle w:val="rvps14"/>
              <w:rPr>
                <w:rStyle w:val="spanrvts0"/>
                <w:lang w:eastAsia="uk"/>
              </w:rPr>
            </w:pPr>
          </w:p>
          <w:p w14:paraId="722BDA8C" w14:textId="5021DD8B" w:rsidR="00230FCE" w:rsidRPr="00FC060E" w:rsidRDefault="00230FCE" w:rsidP="00EB1242">
            <w:pPr>
              <w:pStyle w:val="rvps14"/>
              <w:rPr>
                <w:rStyle w:val="spanrvts0"/>
                <w:lang w:eastAsia="uk"/>
              </w:rPr>
            </w:pPr>
          </w:p>
        </w:tc>
      </w:tr>
      <w:tr w:rsidR="00230FCE" w:rsidRPr="00230FCE" w14:paraId="6F48065C"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2C62B804"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 xml:space="preserve">Інформація про права, надані акціонерам відповідно до вимог </w:t>
            </w:r>
            <w:hyperlink r:id="rId8" w:anchor="n274" w:tgtFrame="_blank" w:history="1">
              <w:r w:rsidRPr="00230FCE">
                <w:rPr>
                  <w:rStyle w:val="arvts96"/>
                  <w:lang w:val="uk" w:eastAsia="uk"/>
                </w:rPr>
                <w:t>статей 27</w:t>
              </w:r>
            </w:hyperlink>
            <w:r w:rsidRPr="00230FCE">
              <w:rPr>
                <w:rStyle w:val="spanrvts0"/>
                <w:b/>
                <w:bCs/>
                <w:lang w:val="uk" w:eastAsia="uk"/>
              </w:rPr>
              <w:t xml:space="preserve"> і </w:t>
            </w:r>
            <w:hyperlink r:id="rId9" w:anchor="n283" w:tgtFrame="_blank" w:history="1">
              <w:r w:rsidRPr="00230FCE">
                <w:rPr>
                  <w:rStyle w:val="arvts96"/>
                  <w:lang w:val="uk" w:eastAsia="uk"/>
                </w:rPr>
                <w:t>28</w:t>
              </w:r>
            </w:hyperlink>
            <w:r w:rsidRPr="00230FCE">
              <w:rPr>
                <w:rStyle w:val="spanrvts0"/>
                <w:b/>
                <w:bCs/>
                <w:lang w:val="uk" w:eastAsia="uk"/>
              </w:rPr>
              <w:t xml:space="preserve">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8FE258" w14:textId="77777777" w:rsidR="00A0432C" w:rsidRDefault="00FC060E" w:rsidP="00EB1242">
            <w:pPr>
              <w:pStyle w:val="rvps14"/>
              <w:rPr>
                <w:rStyle w:val="spanrvts0"/>
                <w:lang w:eastAsia="uk"/>
              </w:rPr>
            </w:pPr>
            <w:r>
              <w:rPr>
                <w:rStyle w:val="spanrvts0"/>
                <w:lang w:eastAsia="uk"/>
              </w:rPr>
              <w:t xml:space="preserve"> </w:t>
            </w:r>
            <w:r w:rsidR="00A0432C">
              <w:rPr>
                <w:rStyle w:val="spanrvts0"/>
                <w:lang w:eastAsia="uk"/>
              </w:rPr>
              <w:t>Кожною простою акцією Товариства її власнику - акціонеру надається однакова сукупність прав, включаючи права на участь в управлінні товариством та отримання інформації про господарську діяльність товариства.</w:t>
            </w:r>
          </w:p>
          <w:p w14:paraId="437C8354" w14:textId="77777777" w:rsidR="00A0432C" w:rsidRDefault="00A0432C" w:rsidP="00EB1242">
            <w:pPr>
              <w:pStyle w:val="rvps14"/>
              <w:rPr>
                <w:rStyle w:val="spanrvts0"/>
                <w:lang w:eastAsia="uk"/>
              </w:rPr>
            </w:pPr>
            <w:r>
              <w:rPr>
                <w:rStyle w:val="spanrvts0"/>
                <w:lang w:eastAsia="uk"/>
              </w:rPr>
              <w:t>Кожен акціонер - власник акцій має право реалізувати своє право на управління Товариством шляхом участі у Загальних зборах та голосування. 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 (голосування на Загальних зборах (подання до депозитарної установи бюлетенів для голосування) розпочинається з моменту розміщення на веб-сайті Товариства відповідного бюлетеню для голосування - не пізніше 11 години 20.05.2024 року). Датою закінчення голосування акціонерів є дата проведення Загальних зборів.</w:t>
            </w:r>
          </w:p>
          <w:p w14:paraId="5E7256C0" w14:textId="77777777" w:rsidR="00A0432C" w:rsidRDefault="00A0432C" w:rsidP="00EB1242">
            <w:pPr>
              <w:pStyle w:val="rvps14"/>
              <w:rPr>
                <w:rStyle w:val="spanrvts0"/>
                <w:lang w:eastAsia="uk"/>
              </w:rPr>
            </w:pPr>
            <w:r>
              <w:rPr>
                <w:rStyle w:val="spanrvts0"/>
                <w:lang w:eastAsia="uk"/>
              </w:rPr>
              <w:t>Бюлетені приймаються виключно до 18 години 30.05.2024 року (дата завершення голосування).</w:t>
            </w:r>
          </w:p>
          <w:p w14:paraId="411614A4" w14:textId="77777777" w:rsidR="00A0432C" w:rsidRDefault="00A0432C" w:rsidP="00EB1242">
            <w:pPr>
              <w:pStyle w:val="rvps14"/>
              <w:rPr>
                <w:rStyle w:val="spanrvts0"/>
                <w:lang w:eastAsia="uk"/>
              </w:rPr>
            </w:pPr>
            <w:r>
              <w:rPr>
                <w:rStyle w:val="spanrvts0"/>
                <w:lang w:eastAsia="uk"/>
              </w:rPr>
              <w:t xml:space="preserve">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avto_expert2017@ukr.net  або до Товариства зо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w:t>
            </w:r>
            <w:r>
              <w:rPr>
                <w:rStyle w:val="spanrvts0"/>
                <w:lang w:eastAsia="uk"/>
              </w:rPr>
              <w:lastRenderedPageBreak/>
              <w:t>паперів та фондового ринку.</w:t>
            </w:r>
          </w:p>
          <w:p w14:paraId="6D94CD11" w14:textId="77777777" w:rsidR="00A0432C" w:rsidRDefault="00A0432C" w:rsidP="00EB1242">
            <w:pPr>
              <w:pStyle w:val="rvps14"/>
              <w:rPr>
                <w:rStyle w:val="spanrvts0"/>
                <w:lang w:eastAsia="uk"/>
              </w:rPr>
            </w:pPr>
            <w:r>
              <w:rPr>
                <w:rStyle w:val="spanrvts0"/>
                <w:lang w:eastAsia="uk"/>
              </w:rPr>
              <w:t>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ознайомитись з документами, необхідними для прийняття рішень з питань, включених до проекту порядку денного та порядку денного, шляхом направлення документів акціонеру на його запит.</w:t>
            </w:r>
          </w:p>
          <w:p w14:paraId="51BD28AF" w14:textId="77777777" w:rsidR="00A0432C" w:rsidRDefault="00A0432C" w:rsidP="00EB1242">
            <w:pPr>
              <w:pStyle w:val="rvps14"/>
              <w:rPr>
                <w:rStyle w:val="spanrvts0"/>
                <w:lang w:eastAsia="uk"/>
              </w:rPr>
            </w:pPr>
            <w:r>
              <w:rPr>
                <w:rStyle w:val="spanrvts0"/>
                <w:lang w:eastAsia="uk"/>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623A3D21" w14:textId="6E8C63D8" w:rsidR="00230FCE" w:rsidRPr="00FC060E" w:rsidRDefault="00A0432C" w:rsidP="00EB1242">
            <w:pPr>
              <w:pStyle w:val="rvps14"/>
              <w:rPr>
                <w:rStyle w:val="spanrvts0"/>
                <w:lang w:eastAsia="uk"/>
              </w:rPr>
            </w:pPr>
            <w:r>
              <w:rPr>
                <w:rStyle w:val="spanrvts0"/>
                <w:lang w:eastAsia="uk"/>
              </w:rPr>
              <w:t>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НКЦПФР) на адресу електронної пошти avto_expert2017@ukr.net.</w:t>
            </w:r>
          </w:p>
        </w:tc>
      </w:tr>
      <w:tr w:rsidR="00230FCE" w:rsidRPr="00230FCE" w14:paraId="7857F32F" w14:textId="77777777" w:rsidTr="00810F71">
        <w:trPr>
          <w:gridBefore w:val="1"/>
          <w:wBefore w:w="11" w:type="pct"/>
          <w:trHeight w:val="60"/>
        </w:trPr>
        <w:tc>
          <w:tcPr>
            <w:tcW w:w="247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14:paraId="3928DC6D"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Порядок надання акціонерами пропозицій до проекту порядку денного позачергових загальних зборів</w:t>
            </w:r>
          </w:p>
        </w:tc>
        <w:tc>
          <w:tcPr>
            <w:tcW w:w="251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9D15BD" w14:textId="007FABEE" w:rsidR="00230FCE" w:rsidRPr="00855E73" w:rsidRDefault="00855E73" w:rsidP="00EB1242">
            <w:pPr>
              <w:pStyle w:val="rvps14"/>
              <w:rPr>
                <w:rStyle w:val="spanrvts0"/>
                <w:lang w:eastAsia="uk"/>
              </w:rPr>
            </w:pPr>
            <w:r>
              <w:rPr>
                <w:rStyle w:val="spanrvts0"/>
                <w:lang w:eastAsia="uk"/>
              </w:rPr>
              <w:t xml:space="preserve"> </w:t>
            </w:r>
            <w:r w:rsidR="00A0432C">
              <w:rPr>
                <w:rStyle w:val="spanrvts0"/>
                <w:lang w:eastAsia="uk"/>
              </w:rPr>
              <w:t>не зазначається, оскільки загальні збори річні</w:t>
            </w:r>
          </w:p>
        </w:tc>
      </w:tr>
      <w:tr w:rsidR="00230FCE" w:rsidRPr="00230FCE" w14:paraId="007188BF"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61195845" w14:textId="77777777" w:rsidR="00230FCE" w:rsidRPr="00230FCE" w:rsidRDefault="00230FCE" w:rsidP="00EB1242">
            <w:pPr>
              <w:pStyle w:val="rvps12"/>
              <w:jc w:val="left"/>
              <w:rPr>
                <w:rStyle w:val="spanrvts0"/>
                <w:lang w:val="uk" w:eastAsia="uk"/>
              </w:rPr>
            </w:pPr>
            <w:r w:rsidRPr="00230FCE">
              <w:rPr>
                <w:rStyle w:val="spanrvts0"/>
                <w:b/>
                <w:bCs/>
                <w:lang w:val="uk" w:eastAsia="uk"/>
              </w:rPr>
              <w:t>Порядок участі та голосування на загальних зборах за довіреністю</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76241324" w14:textId="77777777" w:rsidR="00A0432C" w:rsidRDefault="00855E73" w:rsidP="00855E73">
            <w:pPr>
              <w:pStyle w:val="rvps12"/>
              <w:jc w:val="left"/>
              <w:rPr>
                <w:rStyle w:val="spanrvts0"/>
                <w:lang w:eastAsia="uk"/>
              </w:rPr>
            </w:pPr>
            <w:r w:rsidRPr="00810F71">
              <w:rPr>
                <w:rStyle w:val="spanrvts0"/>
                <w:lang w:val="ru-RU" w:eastAsia="uk"/>
              </w:rPr>
              <w:t xml:space="preserve"> </w:t>
            </w:r>
            <w:r w:rsidR="00A0432C">
              <w:rPr>
                <w:rStyle w:val="spanrvts0"/>
                <w:lang w:eastAsia="uk"/>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Акціонер має право призначити свого представника безстроково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Представник акціонера може отримувати від нього перелік питань порядку денного Загальних зборів з інструкцією щодо голосування з цих питань (завдання на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w:t>
            </w:r>
            <w:r w:rsidR="00A0432C">
              <w:rPr>
                <w:rStyle w:val="spanrvts0"/>
                <w:lang w:eastAsia="uk"/>
              </w:rPr>
              <w:lastRenderedPageBreak/>
              <w:t>голосування. Якщо представник акціонера не має завдання щодо голосування, він здійснює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245C3532" w14:textId="3E54A9F0" w:rsidR="00230FCE" w:rsidRPr="00855E73" w:rsidRDefault="00A0432C" w:rsidP="00855E73">
            <w:pPr>
              <w:pStyle w:val="rvps12"/>
              <w:jc w:val="left"/>
              <w:rPr>
                <w:rStyle w:val="spanrvts0"/>
                <w:lang w:eastAsia="uk"/>
              </w:rPr>
            </w:pPr>
            <w:r>
              <w:rPr>
                <w:rStyle w:val="spanrvts0"/>
                <w:lang w:eastAsia="uk"/>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tc>
      </w:tr>
      <w:tr w:rsidR="00230FCE" w:rsidRPr="00230FCE" w14:paraId="4DA44CA1"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1E97C91A"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та завершення голосування за допомогою авторизованої електронної системи</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400AA963" w14:textId="409238CC" w:rsidR="00230FCE" w:rsidRDefault="00855E73" w:rsidP="00EB1242">
            <w:pPr>
              <w:pStyle w:val="rvps14"/>
              <w:rPr>
                <w:rStyle w:val="spanrvts0"/>
                <w:lang w:eastAsia="uk"/>
              </w:rPr>
            </w:pPr>
            <w:r w:rsidRPr="00810F71">
              <w:rPr>
                <w:rStyle w:val="spanrvts0"/>
                <w:lang w:val="ru-RU" w:eastAsia="uk"/>
              </w:rPr>
              <w:t xml:space="preserve"> </w:t>
            </w:r>
            <w:r w:rsidR="00A0432C">
              <w:rPr>
                <w:rStyle w:val="spanrvts0"/>
                <w:lang w:eastAsia="uk"/>
              </w:rPr>
              <w:t xml:space="preserve"> </w:t>
            </w:r>
          </w:p>
          <w:p w14:paraId="7411101E" w14:textId="586F84ED" w:rsidR="00855E73" w:rsidRPr="00855E73" w:rsidRDefault="00855E73" w:rsidP="00EB1242">
            <w:pPr>
              <w:pStyle w:val="rvps14"/>
              <w:rPr>
                <w:rStyle w:val="spanrvts0"/>
                <w:lang w:eastAsia="uk"/>
              </w:rPr>
            </w:pPr>
            <w:r>
              <w:rPr>
                <w:rStyle w:val="spanrvts0"/>
                <w:lang w:eastAsia="uk"/>
              </w:rPr>
              <w:t xml:space="preserve"> </w:t>
            </w:r>
            <w:r w:rsidR="00A0432C">
              <w:rPr>
                <w:rStyle w:val="spanrvts0"/>
                <w:lang w:eastAsia="uk"/>
              </w:rPr>
              <w:t xml:space="preserve"> </w:t>
            </w:r>
          </w:p>
        </w:tc>
      </w:tr>
      <w:tr w:rsidR="00230FCE" w:rsidRPr="00230FCE" w14:paraId="2B693628"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331C8E89" w14:textId="77777777" w:rsidR="00230FCE" w:rsidRPr="00230FCE" w:rsidRDefault="00230FCE" w:rsidP="00EB1242">
            <w:pPr>
              <w:pStyle w:val="rvps14"/>
              <w:rPr>
                <w:rStyle w:val="spanrvts0"/>
                <w:lang w:val="uk" w:eastAsia="uk"/>
              </w:rPr>
            </w:pPr>
            <w:r w:rsidRPr="00230FCE">
              <w:rPr>
                <w:rStyle w:val="spanrvts0"/>
                <w:b/>
                <w:bCs/>
                <w:lang w:val="uk" w:eastAsia="uk"/>
              </w:rPr>
              <w:t>Дата і час початку та завершення надсилання до депозитарної установи бюлетенів для голосування</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6994F3A3" w14:textId="691D5B29" w:rsidR="00230FCE" w:rsidRDefault="00855E73" w:rsidP="00EB1242">
            <w:pPr>
              <w:pStyle w:val="rvps14"/>
              <w:rPr>
                <w:rStyle w:val="spanrvts0"/>
                <w:lang w:eastAsia="uk"/>
              </w:rPr>
            </w:pPr>
            <w:r w:rsidRPr="00810F71">
              <w:rPr>
                <w:rStyle w:val="spanrvts0"/>
                <w:lang w:val="ru-RU" w:eastAsia="uk"/>
              </w:rPr>
              <w:t xml:space="preserve"> </w:t>
            </w:r>
            <w:r w:rsidR="00A0432C">
              <w:rPr>
                <w:rStyle w:val="spanrvts0"/>
                <w:lang w:eastAsia="uk"/>
              </w:rPr>
              <w:t>20.05.2024 11:00</w:t>
            </w:r>
          </w:p>
          <w:p w14:paraId="12539433" w14:textId="5E407CF9" w:rsidR="00855E73" w:rsidRPr="00855E73" w:rsidRDefault="00855E73" w:rsidP="00EB1242">
            <w:pPr>
              <w:pStyle w:val="rvps14"/>
              <w:rPr>
                <w:rStyle w:val="spanrvts0"/>
                <w:lang w:eastAsia="uk"/>
              </w:rPr>
            </w:pPr>
            <w:r>
              <w:rPr>
                <w:rStyle w:val="spanrvts0"/>
                <w:lang w:eastAsia="uk"/>
              </w:rPr>
              <w:t xml:space="preserve"> </w:t>
            </w:r>
            <w:r w:rsidR="00A0432C">
              <w:rPr>
                <w:rStyle w:val="spanrvts0"/>
                <w:lang w:eastAsia="uk"/>
              </w:rPr>
              <w:t>30.05.2024 18:00</w:t>
            </w:r>
          </w:p>
        </w:tc>
      </w:tr>
      <w:tr w:rsidR="00230FCE" w:rsidRPr="00230FCE" w14:paraId="6CF7E688"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7E4F56E6" w14:textId="77777777" w:rsidR="00230FCE" w:rsidRPr="00230FCE" w:rsidRDefault="00230FCE" w:rsidP="00EB1242">
            <w:pPr>
              <w:pStyle w:val="rvps14"/>
              <w:rPr>
                <w:rStyle w:val="spanrvts0"/>
                <w:lang w:val="uk" w:eastAsia="uk"/>
              </w:rPr>
            </w:pPr>
            <w:r w:rsidRPr="00230FCE">
              <w:rPr>
                <w:rStyle w:val="spanrvts0"/>
                <w:b/>
                <w:bCs/>
                <w:lang w:val="uk" w:eastAsia="uk"/>
              </w:rPr>
              <w:t>Дані про мету зменшення розміру статутного капіталу та спосіб, у який буде проведено таку процедуру</w:t>
            </w:r>
            <w:r w:rsidRPr="00230FCE">
              <w:rPr>
                <w:rStyle w:val="spanrvts37"/>
                <w:b w:val="0"/>
                <w:bCs w:val="0"/>
                <w:sz w:val="0"/>
                <w:szCs w:val="0"/>
                <w:lang w:val="uk" w:eastAsia="uk"/>
              </w:rPr>
              <w:t>-</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44C5A280" w14:textId="11025908" w:rsidR="00230FCE" w:rsidRPr="00C7694B" w:rsidRDefault="00C7694B" w:rsidP="00EB1242">
            <w:pPr>
              <w:pStyle w:val="rvps14"/>
              <w:rPr>
                <w:rStyle w:val="spanrvts0"/>
                <w:lang w:eastAsia="uk"/>
              </w:rPr>
            </w:pPr>
            <w:r w:rsidRPr="00810F71">
              <w:rPr>
                <w:rStyle w:val="spanrvts0"/>
                <w:lang w:val="ru-RU" w:eastAsia="uk"/>
              </w:rPr>
              <w:t xml:space="preserve"> </w:t>
            </w:r>
            <w:r w:rsidR="00A0432C">
              <w:rPr>
                <w:rStyle w:val="spanrvts0"/>
                <w:lang w:eastAsia="uk"/>
              </w:rPr>
              <w:t>не зазначається, оскільки проект порядку денного не містить питання щодо зменшення розміру статутного капіталу</w:t>
            </w:r>
          </w:p>
        </w:tc>
      </w:tr>
      <w:tr w:rsidR="00230FCE" w:rsidRPr="00230FCE" w14:paraId="7A44EA78"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7D53EE08" w14:textId="77777777" w:rsidR="00230FCE" w:rsidRPr="00230FCE" w:rsidRDefault="00230FCE" w:rsidP="00EB1242">
            <w:pPr>
              <w:pStyle w:val="rvps14"/>
              <w:rPr>
                <w:rStyle w:val="spanrvts0"/>
                <w:lang w:val="uk" w:eastAsia="uk"/>
              </w:rPr>
            </w:pPr>
            <w:r w:rsidRPr="00230FCE">
              <w:rPr>
                <w:rStyle w:val="spanrvts0"/>
                <w:b/>
                <w:bCs/>
                <w:lang w:val="uk" w:eastAsia="uk"/>
              </w:rPr>
              <w:t>Інші відомості, передбачені законодавством</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2761688B" w14:textId="77777777" w:rsidR="00A0432C" w:rsidRDefault="00C7694B" w:rsidP="00EB1242">
            <w:pPr>
              <w:pStyle w:val="rvps14"/>
              <w:rPr>
                <w:rStyle w:val="spanrvts0"/>
                <w:lang w:eastAsia="uk"/>
              </w:rPr>
            </w:pPr>
            <w:r>
              <w:rPr>
                <w:rStyle w:val="spanrvts0"/>
                <w:lang w:eastAsia="uk"/>
              </w:rPr>
              <w:t xml:space="preserve"> </w:t>
            </w:r>
            <w:r w:rsidR="00A0432C">
              <w:rPr>
                <w:rStyle w:val="spanrvts0"/>
                <w:lang w:eastAsia="uk"/>
              </w:rPr>
              <w:t>Дата дистанційного проведення річних загальних зборів (дата завершення голосування) 30 травня 2024 року.</w:t>
            </w:r>
          </w:p>
          <w:p w14:paraId="61392C43" w14:textId="77777777" w:rsidR="00A0432C" w:rsidRDefault="00A0432C" w:rsidP="00EB1242">
            <w:pPr>
              <w:pStyle w:val="rvps14"/>
              <w:rPr>
                <w:rStyle w:val="spanrvts0"/>
                <w:lang w:eastAsia="uk"/>
              </w:rPr>
            </w:pPr>
          </w:p>
          <w:p w14:paraId="37DB538A" w14:textId="77777777" w:rsidR="00A0432C" w:rsidRDefault="00A0432C" w:rsidP="00EB1242">
            <w:pPr>
              <w:pStyle w:val="rvps14"/>
              <w:rPr>
                <w:rStyle w:val="spanrvts0"/>
                <w:lang w:eastAsia="uk"/>
              </w:rPr>
            </w:pPr>
            <w:r>
              <w:rPr>
                <w:rStyle w:val="spanrvts0"/>
                <w:lang w:eastAsia="uk"/>
              </w:rPr>
              <w:t>Між питаннями, включеними в проект порядку денного, відсутній взаємозв'язок.</w:t>
            </w:r>
          </w:p>
          <w:p w14:paraId="22BD70F6" w14:textId="77777777" w:rsidR="00A0432C" w:rsidRDefault="00A0432C" w:rsidP="00EB1242">
            <w:pPr>
              <w:pStyle w:val="rvps14"/>
              <w:rPr>
                <w:rStyle w:val="spanrvts0"/>
                <w:lang w:eastAsia="uk"/>
              </w:rPr>
            </w:pPr>
          </w:p>
          <w:p w14:paraId="40413FE5" w14:textId="77777777" w:rsidR="00A0432C" w:rsidRDefault="00A0432C" w:rsidP="00EB1242">
            <w:pPr>
              <w:pStyle w:val="rvps14"/>
              <w:rPr>
                <w:rStyle w:val="spanrvts0"/>
                <w:lang w:eastAsia="uk"/>
              </w:rPr>
            </w:pPr>
            <w:r>
              <w:rPr>
                <w:rStyle w:val="spanrvts0"/>
                <w:lang w:eastAsia="uk"/>
              </w:rPr>
              <w:t xml:space="preserve">20 травня 2024 року - дата розміщення </w:t>
            </w:r>
            <w:r>
              <w:rPr>
                <w:rStyle w:val="spanrvts0"/>
                <w:lang w:eastAsia="uk"/>
              </w:rPr>
              <w:lastRenderedPageBreak/>
              <w:t>бюлетеня для голосування (бюлетеня я для голосування (щодо інших питань порядку денного, крім обрання органів товариства)) у вільному для акціонерів доступі на власному веб-сайті Товариства (http://arkhbudtekh.pat.ua/) за посиланням http://arkhbudtekh.pat.ua/documents/informaciya-dlya-akcioneriv-ta-steikholderiv.</w:t>
            </w:r>
          </w:p>
          <w:p w14:paraId="19283369" w14:textId="77777777" w:rsidR="00A0432C" w:rsidRDefault="00A0432C" w:rsidP="00EB1242">
            <w:pPr>
              <w:pStyle w:val="rvps14"/>
              <w:rPr>
                <w:rStyle w:val="spanrvts0"/>
                <w:lang w:eastAsia="uk"/>
              </w:rPr>
            </w:pPr>
          </w:p>
          <w:p w14:paraId="2BB09AD4" w14:textId="77777777" w:rsidR="00A0432C" w:rsidRDefault="00A0432C" w:rsidP="00EB1242">
            <w:pPr>
              <w:pStyle w:val="rvps14"/>
              <w:rPr>
                <w:rStyle w:val="spanrvts0"/>
                <w:lang w:eastAsia="uk"/>
              </w:rPr>
            </w:pPr>
            <w:r>
              <w:rPr>
                <w:rStyle w:val="spanrvts0"/>
                <w:lang w:eastAsia="uk"/>
              </w:rPr>
              <w:t>На Загальних зборах голосування проводиться з усіх питань порядку денного. На Загальних зборах не може бути оголошено перерву або змінено черговість розгляду питань порядку денного.</w:t>
            </w:r>
          </w:p>
          <w:p w14:paraId="79C7C95E" w14:textId="77777777" w:rsidR="00A0432C" w:rsidRDefault="00A0432C" w:rsidP="00EB1242">
            <w:pPr>
              <w:pStyle w:val="rvps14"/>
              <w:rPr>
                <w:rStyle w:val="spanrvts0"/>
                <w:lang w:eastAsia="uk"/>
              </w:rPr>
            </w:pPr>
            <w:r>
              <w:rPr>
                <w:rStyle w:val="spanrvts0"/>
                <w:lang w:eastAsia="uk"/>
              </w:rPr>
              <w:t>Голосування на Загальних зборах з питань порядку денного проводиться виключно з використанням бюлетенів для голосування.</w:t>
            </w:r>
          </w:p>
          <w:p w14:paraId="023CEE72" w14:textId="77777777" w:rsidR="00A0432C" w:rsidRDefault="00A0432C" w:rsidP="00EB1242">
            <w:pPr>
              <w:pStyle w:val="rvps14"/>
              <w:rPr>
                <w:rStyle w:val="spanrvts0"/>
                <w:lang w:eastAsia="uk"/>
              </w:rPr>
            </w:pPr>
            <w:r>
              <w:rPr>
                <w:rStyle w:val="spanrvts0"/>
                <w:lang w:eastAsia="uk"/>
              </w:rPr>
              <w:t>У період дії воєнного стану для участі та голосування на Загальних зборах акціонером (представником акціонера) бюлетені для голосування можуть подаватися як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p>
          <w:p w14:paraId="2D79EEF6" w14:textId="77777777" w:rsidR="00A0432C" w:rsidRDefault="00A0432C" w:rsidP="00EB1242">
            <w:pPr>
              <w:pStyle w:val="rvps14"/>
              <w:rPr>
                <w:rStyle w:val="spanrvts0"/>
                <w:lang w:eastAsia="uk"/>
              </w:rPr>
            </w:pPr>
            <w:r>
              <w:rPr>
                <w:rStyle w:val="spanrvts0"/>
                <w:lang w:eastAsia="uk"/>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795E6DB9" w14:textId="77777777" w:rsidR="00A0432C" w:rsidRDefault="00A0432C" w:rsidP="00EB1242">
            <w:pPr>
              <w:pStyle w:val="rvps14"/>
              <w:rPr>
                <w:rStyle w:val="spanrvts0"/>
                <w:lang w:eastAsia="uk"/>
              </w:rPr>
            </w:pPr>
            <w:r>
              <w:rPr>
                <w:rStyle w:val="spanrvts0"/>
                <w:lang w:eastAsia="uk"/>
              </w:rPr>
              <w:t>Акціонер (його представник) в період проведення голосування може подати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36CC4784" w14:textId="77777777" w:rsidR="00A0432C" w:rsidRDefault="00A0432C" w:rsidP="00EB1242">
            <w:pPr>
              <w:pStyle w:val="rvps14"/>
              <w:rPr>
                <w:rStyle w:val="spanrvts0"/>
                <w:lang w:eastAsia="uk"/>
              </w:rPr>
            </w:pPr>
            <w:r>
              <w:rPr>
                <w:rStyle w:val="spanrvts0"/>
                <w:lang w:eastAsia="uk"/>
              </w:rPr>
              <w:t xml:space="preserve">У разі, якщо акціонер має рахунки в цінних паперах в декількох депозитарних установах, на яких обліковуються акції Товариства, кожна </w:t>
            </w:r>
            <w:r>
              <w:rPr>
                <w:rStyle w:val="spanrvts0"/>
                <w:lang w:eastAsia="uk"/>
              </w:rPr>
              <w:lastRenderedPageBreak/>
              <w:t>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19EEE522" w14:textId="77777777" w:rsidR="00A0432C" w:rsidRDefault="00A0432C" w:rsidP="00EB1242">
            <w:pPr>
              <w:pStyle w:val="rvps14"/>
              <w:rPr>
                <w:rStyle w:val="spanrvts0"/>
                <w:lang w:eastAsia="uk"/>
              </w:rPr>
            </w:pPr>
          </w:p>
          <w:p w14:paraId="4ED672DB" w14:textId="77777777" w:rsidR="00A0432C" w:rsidRDefault="00A0432C" w:rsidP="00EB1242">
            <w:pPr>
              <w:pStyle w:val="rvps14"/>
              <w:rPr>
                <w:rStyle w:val="spanrvts0"/>
                <w:lang w:eastAsia="uk"/>
              </w:rPr>
            </w:pPr>
            <w:r>
              <w:rPr>
                <w:rStyle w:val="spanrvts0"/>
                <w:lang w:eastAsia="uk"/>
              </w:rPr>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14:paraId="17DFA836" w14:textId="2D1D0F08" w:rsidR="00230FCE" w:rsidRPr="00C7694B" w:rsidRDefault="00230FCE" w:rsidP="00EB1242">
            <w:pPr>
              <w:pStyle w:val="rvps14"/>
              <w:rPr>
                <w:rStyle w:val="spanrvts0"/>
                <w:lang w:eastAsia="uk"/>
              </w:rPr>
            </w:pPr>
          </w:p>
        </w:tc>
      </w:tr>
      <w:tr w:rsidR="00230FCE" w:rsidRPr="00230FCE" w14:paraId="43069C34"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40E3E90B" w14:textId="77777777" w:rsidR="00230FCE" w:rsidRPr="00230FCE" w:rsidRDefault="00230FCE" w:rsidP="00EB1242">
            <w:pPr>
              <w:pStyle w:val="rvps14"/>
              <w:rPr>
                <w:rStyle w:val="spanrvts0"/>
                <w:lang w:val="uk" w:eastAsia="uk"/>
              </w:rPr>
            </w:pPr>
            <w:r w:rsidRPr="00230FCE">
              <w:rPr>
                <w:rStyle w:val="spanrvts0"/>
                <w:b/>
                <w:bCs/>
                <w:lang w:val="uk" w:eastAsia="uk"/>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027010C2" w14:textId="0BC0B7A6" w:rsidR="00230FCE" w:rsidRDefault="00C7694B" w:rsidP="00EB1242">
            <w:pPr>
              <w:pStyle w:val="rvps14"/>
              <w:rPr>
                <w:rStyle w:val="spanrvts0"/>
                <w:lang w:eastAsia="uk"/>
              </w:rPr>
            </w:pPr>
            <w:r w:rsidRPr="00810F71">
              <w:rPr>
                <w:rStyle w:val="spanrvts0"/>
                <w:lang w:val="ru-RU" w:eastAsia="uk"/>
              </w:rPr>
              <w:t xml:space="preserve"> </w:t>
            </w:r>
            <w:r w:rsidR="00A0432C">
              <w:rPr>
                <w:rStyle w:val="spanrvts0"/>
                <w:lang w:eastAsia="uk"/>
              </w:rPr>
              <w:t>25/04</w:t>
            </w:r>
          </w:p>
          <w:p w14:paraId="203F9A13" w14:textId="1627BF2B" w:rsidR="00C7694B" w:rsidRPr="00C7694B" w:rsidRDefault="00C7694B" w:rsidP="00EB1242">
            <w:pPr>
              <w:pStyle w:val="rvps14"/>
              <w:rPr>
                <w:rStyle w:val="spanrvts0"/>
                <w:lang w:eastAsia="uk"/>
              </w:rPr>
            </w:pPr>
            <w:r>
              <w:rPr>
                <w:rStyle w:val="spanrvts0"/>
                <w:lang w:eastAsia="uk"/>
              </w:rPr>
              <w:t xml:space="preserve"> </w:t>
            </w:r>
            <w:r w:rsidR="00A0432C">
              <w:rPr>
                <w:rStyle w:val="spanrvts0"/>
                <w:lang w:eastAsia="uk"/>
              </w:rPr>
              <w:t>25.04.2024</w:t>
            </w:r>
          </w:p>
        </w:tc>
      </w:tr>
      <w:tr w:rsidR="00230FCE" w:rsidRPr="00230FCE" w14:paraId="4D1228C7" w14:textId="77777777" w:rsidTr="00810F71">
        <w:trPr>
          <w:trHeight w:val="60"/>
        </w:trPr>
        <w:tc>
          <w:tcPr>
            <w:tcW w:w="2491"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14:paraId="6FA34470" w14:textId="77777777" w:rsidR="00230FCE" w:rsidRPr="00230FCE" w:rsidRDefault="00230FCE" w:rsidP="00EB1242">
            <w:pPr>
              <w:pStyle w:val="rvps14"/>
              <w:rPr>
                <w:rStyle w:val="spanrvts0"/>
                <w:lang w:val="uk" w:eastAsia="uk"/>
              </w:rPr>
            </w:pPr>
            <w:r w:rsidRPr="00230FCE">
              <w:rPr>
                <w:rStyle w:val="spanrvts0"/>
                <w:b/>
                <w:bCs/>
                <w:lang w:val="uk" w:eastAsia="uk"/>
              </w:rPr>
              <w:t>Дата складання повідомлення</w:t>
            </w:r>
          </w:p>
        </w:tc>
        <w:tc>
          <w:tcPr>
            <w:tcW w:w="2506"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14:paraId="65857CD0" w14:textId="06DD7735" w:rsidR="00230FCE" w:rsidRPr="00C7694B" w:rsidRDefault="00C7694B" w:rsidP="00EB1242">
            <w:pPr>
              <w:pStyle w:val="rvps14"/>
              <w:rPr>
                <w:rStyle w:val="spanrvts0"/>
                <w:lang w:eastAsia="uk"/>
              </w:rPr>
            </w:pPr>
            <w:r>
              <w:rPr>
                <w:rStyle w:val="spanrvts0"/>
                <w:lang w:eastAsia="uk"/>
              </w:rPr>
              <w:t xml:space="preserve"> </w:t>
            </w:r>
            <w:r w:rsidR="00A0432C">
              <w:rPr>
                <w:rStyle w:val="spanrvts0"/>
                <w:lang w:eastAsia="uk"/>
              </w:rPr>
              <w:t>25.04.2024</w:t>
            </w:r>
          </w:p>
        </w:tc>
      </w:tr>
    </w:tbl>
    <w:p w14:paraId="4CB345BD" w14:textId="77777777" w:rsidR="00337465" w:rsidRPr="00230FCE" w:rsidRDefault="00337465" w:rsidP="00230FCE">
      <w:pPr>
        <w:pStyle w:val="rvps14"/>
        <w:spacing w:before="150" w:after="150"/>
        <w:rPr>
          <w:lang w:val="uk"/>
        </w:rPr>
      </w:pPr>
    </w:p>
    <w:sectPr w:rsidR="00337465" w:rsidRPr="00230FCE" w:rsidSect="00A0432C">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2C"/>
    <w:rsid w:val="001B222E"/>
    <w:rsid w:val="00230FCE"/>
    <w:rsid w:val="002424A1"/>
    <w:rsid w:val="00337465"/>
    <w:rsid w:val="00810F71"/>
    <w:rsid w:val="00855E73"/>
    <w:rsid w:val="00A0432C"/>
    <w:rsid w:val="00AA2A4D"/>
    <w:rsid w:val="00B8206F"/>
    <w:rsid w:val="00C7694B"/>
    <w:rsid w:val="00EB1242"/>
    <w:rsid w:val="00FC0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C9E0"/>
  <w15:chartTrackingRefBased/>
  <w15:docId w15:val="{FB7D0A0F-3324-49B3-A0EF-EAA2ABCF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FCE"/>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230FCE"/>
    <w:rPr>
      <w:rFonts w:ascii="Times New Roman" w:eastAsia="Times New Roman" w:hAnsi="Times New Roman" w:cs="Times New Roman"/>
      <w:b w:val="0"/>
      <w:bCs w:val="0"/>
      <w:i w:val="0"/>
      <w:iCs w:val="0"/>
      <w:sz w:val="24"/>
      <w:szCs w:val="24"/>
    </w:rPr>
  </w:style>
  <w:style w:type="paragraph" w:customStyle="1" w:styleId="rvps14">
    <w:name w:val="rvps14"/>
    <w:basedOn w:val="a"/>
    <w:rsid w:val="00230FCE"/>
  </w:style>
  <w:style w:type="character" w:customStyle="1" w:styleId="spanrvts15">
    <w:name w:val="span_rvts15"/>
    <w:rsid w:val="00230FCE"/>
    <w:rPr>
      <w:rFonts w:ascii="Times New Roman" w:eastAsia="Times New Roman" w:hAnsi="Times New Roman" w:cs="Times New Roman"/>
      <w:b/>
      <w:bCs/>
      <w:i w:val="0"/>
      <w:iCs w:val="0"/>
      <w:sz w:val="28"/>
      <w:szCs w:val="28"/>
    </w:rPr>
  </w:style>
  <w:style w:type="paragraph" w:customStyle="1" w:styleId="rvps7">
    <w:name w:val="rvps7"/>
    <w:basedOn w:val="a"/>
    <w:rsid w:val="00230FCE"/>
    <w:pPr>
      <w:jc w:val="center"/>
    </w:pPr>
  </w:style>
  <w:style w:type="table" w:customStyle="1" w:styleId="articletable">
    <w:name w:val="article_table"/>
    <w:basedOn w:val="a1"/>
    <w:rsid w:val="00230FCE"/>
    <w:rPr>
      <w:rFonts w:ascii="Times New Roman" w:eastAsia="Times New Roman" w:hAnsi="Times New Roman"/>
      <w:lang w:val="en-US"/>
    </w:rPr>
    <w:tblPr/>
  </w:style>
  <w:style w:type="character" w:customStyle="1" w:styleId="arvts96">
    <w:name w:val="a_rvts96"/>
    <w:rsid w:val="00230FCE"/>
    <w:rPr>
      <w:rFonts w:ascii="Times New Roman" w:eastAsia="Times New Roman" w:hAnsi="Times New Roman" w:cs="Times New Roman"/>
      <w:b w:val="0"/>
      <w:bCs w:val="0"/>
      <w:i w:val="0"/>
      <w:iCs w:val="0"/>
      <w:color w:val="000099"/>
      <w:sz w:val="24"/>
      <w:szCs w:val="24"/>
    </w:rPr>
  </w:style>
  <w:style w:type="character" w:customStyle="1" w:styleId="spanrvts37">
    <w:name w:val="span_rvts37"/>
    <w:rsid w:val="00230FCE"/>
    <w:rPr>
      <w:rFonts w:ascii="Times New Roman" w:eastAsia="Times New Roman" w:hAnsi="Times New Roman" w:cs="Times New Roman"/>
      <w:b/>
      <w:bCs/>
      <w:i w:val="0"/>
      <w:iCs w:val="0"/>
      <w:sz w:val="24"/>
      <w:szCs w:val="24"/>
      <w:vertAlign w:val="superscript"/>
    </w:rPr>
  </w:style>
  <w:style w:type="character" w:customStyle="1" w:styleId="spanrvts82">
    <w:name w:val="span_rvts82"/>
    <w:rsid w:val="00230FCE"/>
    <w:rPr>
      <w:rFonts w:ascii="Times New Roman" w:eastAsia="Times New Roman" w:hAnsi="Times New Roman" w:cs="Times New Roman"/>
      <w:b w:val="0"/>
      <w:bCs w:val="0"/>
      <w:i w:val="0"/>
      <w:iCs w:val="0"/>
      <w:sz w:val="20"/>
      <w:szCs w:val="20"/>
    </w:rPr>
  </w:style>
  <w:style w:type="paragraph" w:customStyle="1" w:styleId="rvps12">
    <w:name w:val="rvps12"/>
    <w:basedOn w:val="a"/>
    <w:rsid w:val="00230F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 TargetMode="External"/><Relationship Id="rId3" Type="http://schemas.openxmlformats.org/officeDocument/2006/relationships/webSettings" Target="webSettings.xml"/><Relationship Id="rId7" Type="http://schemas.openxmlformats.org/officeDocument/2006/relationships/hyperlink" Target="https://zakon.rada.gov.ua/laws/show/246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file/imgs/109/p529494n1280-29.emf" TargetMode="External"/><Relationship Id="rId11" Type="http://schemas.openxmlformats.org/officeDocument/2006/relationships/theme" Target="theme/theme1.xml"/><Relationship Id="rId5" Type="http://schemas.openxmlformats.org/officeDocument/2006/relationships/hyperlink" Target="https://zakon.rada.gov.ua/laws/file/imgs/109/p529494n1280-28.emf" TargetMode="External"/><Relationship Id="rId10" Type="http://schemas.openxmlformats.org/officeDocument/2006/relationships/fontTable" Target="fontTable.xml"/><Relationship Id="rId4" Type="http://schemas.openxmlformats.org/officeDocument/2006/relationships/hyperlink" Target="https://zakon.rada.gov.ua/laws/file/imgs/109/p529494n1280-27.emf" TargetMode="External"/><Relationship Id="rId9" Type="http://schemas.openxmlformats.org/officeDocument/2006/relationships/hyperlink" Target="https://zakon.rada.gov.ua/laws/show/246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zza.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zza</Template>
  <TotalTime>1</TotalTime>
  <Pages>8</Pages>
  <Words>11099</Words>
  <Characters>6327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CharactersWithSpaces>
  <SharedDoc>false</SharedDoc>
  <HLinks>
    <vt:vector size="36" baseType="variant">
      <vt:variant>
        <vt:i4>6881395</vt:i4>
      </vt:variant>
      <vt:variant>
        <vt:i4>15</vt:i4>
      </vt:variant>
      <vt:variant>
        <vt:i4>0</vt:i4>
      </vt:variant>
      <vt:variant>
        <vt:i4>5</vt:i4>
      </vt:variant>
      <vt:variant>
        <vt:lpwstr>https://zakon.rada.gov.ua/laws/show/2465-20</vt:lpwstr>
      </vt:variant>
      <vt:variant>
        <vt:lpwstr>n283</vt:lpwstr>
      </vt:variant>
      <vt:variant>
        <vt:i4>7209084</vt:i4>
      </vt:variant>
      <vt:variant>
        <vt:i4>12</vt:i4>
      </vt:variant>
      <vt:variant>
        <vt:i4>0</vt:i4>
      </vt:variant>
      <vt:variant>
        <vt:i4>5</vt:i4>
      </vt:variant>
      <vt:variant>
        <vt:lpwstr>https://zakon.rada.gov.ua/laws/show/2465-20</vt:lpwstr>
      </vt:variant>
      <vt:variant>
        <vt:lpwstr>n274</vt:lpwstr>
      </vt:variant>
      <vt:variant>
        <vt:i4>7012475</vt:i4>
      </vt:variant>
      <vt:variant>
        <vt:i4>9</vt:i4>
      </vt:variant>
      <vt:variant>
        <vt:i4>0</vt:i4>
      </vt:variant>
      <vt:variant>
        <vt:i4>5</vt:i4>
      </vt:variant>
      <vt:variant>
        <vt:lpwstr>https://zakon.rada.gov.ua/laws/show/2465-20</vt:lpwstr>
      </vt:variant>
      <vt:variant>
        <vt:lpwstr>n506</vt:lpwstr>
      </vt:variant>
      <vt:variant>
        <vt:i4>458761</vt:i4>
      </vt:variant>
      <vt:variant>
        <vt:i4>6</vt:i4>
      </vt:variant>
      <vt:variant>
        <vt:i4>0</vt:i4>
      </vt:variant>
      <vt:variant>
        <vt:i4>5</vt:i4>
      </vt:variant>
      <vt:variant>
        <vt:lpwstr>https://zakon.rada.gov.ua/laws/file/imgs/109/p529494n1280-29.emf</vt:lpwstr>
      </vt:variant>
      <vt:variant>
        <vt:lpwstr/>
      </vt:variant>
      <vt:variant>
        <vt:i4>393225</vt:i4>
      </vt:variant>
      <vt:variant>
        <vt:i4>3</vt:i4>
      </vt:variant>
      <vt:variant>
        <vt:i4>0</vt:i4>
      </vt:variant>
      <vt:variant>
        <vt:i4>5</vt:i4>
      </vt:variant>
      <vt:variant>
        <vt:lpwstr>https://zakon.rada.gov.ua/laws/file/imgs/109/p529494n1280-28.emf</vt:lpwstr>
      </vt:variant>
      <vt:variant>
        <vt:lpwstr/>
      </vt:variant>
      <vt:variant>
        <vt:i4>589833</vt:i4>
      </vt:variant>
      <vt:variant>
        <vt:i4>0</vt:i4>
      </vt:variant>
      <vt:variant>
        <vt:i4>0</vt:i4>
      </vt:variant>
      <vt:variant>
        <vt:i4>5</vt:i4>
      </vt:variant>
      <vt:variant>
        <vt:lpwstr>https://zakon.rada.gov.ua/laws/file/imgs/109/p529494n1280-27.emf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dcterms:created xsi:type="dcterms:W3CDTF">2024-04-26T07:33:00Z</dcterms:created>
  <dcterms:modified xsi:type="dcterms:W3CDTF">2024-04-26T07:33:00Z</dcterms:modified>
</cp:coreProperties>
</file>